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5EE" w:rsidRDefault="00811AD1" w:rsidP="00811AD1">
      <w:pPr>
        <w:pStyle w:val="Style7"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Style w:val="FontStyle13"/>
          <w:rFonts w:ascii="Times New Roman" w:hAnsi="Times New Roman" w:cs="Times New Roman"/>
          <w:b/>
          <w:color w:val="FF0000"/>
          <w:sz w:val="36"/>
          <w:szCs w:val="36"/>
        </w:rPr>
        <w:t>Уважаемые коллеги!</w:t>
      </w:r>
    </w:p>
    <w:p w:rsidR="00043EA6" w:rsidRDefault="00043EA6" w:rsidP="00811AD1">
      <w:pPr>
        <w:pStyle w:val="Style7"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b/>
          <w:color w:val="FF0000"/>
          <w:sz w:val="36"/>
          <w:szCs w:val="36"/>
        </w:rPr>
      </w:pPr>
    </w:p>
    <w:p w:rsidR="00811AD1" w:rsidRPr="00043EA6" w:rsidRDefault="00043EA6" w:rsidP="00043EA6">
      <w:pPr>
        <w:pStyle w:val="Style7"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Style w:val="FontStyle13"/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811AD1" w:rsidRPr="00043EA6">
        <w:rPr>
          <w:rStyle w:val="FontStyle13"/>
          <w:rFonts w:ascii="Times New Roman" w:hAnsi="Times New Roman" w:cs="Times New Roman"/>
          <w:color w:val="FF0000"/>
          <w:sz w:val="28"/>
          <w:szCs w:val="28"/>
        </w:rPr>
        <w:t xml:space="preserve">В связи с проведением пенсионной реформы в РФ предлагаем </w:t>
      </w:r>
      <w:r>
        <w:rPr>
          <w:rStyle w:val="FontStyle13"/>
          <w:rFonts w:ascii="Times New Roman" w:hAnsi="Times New Roman" w:cs="Times New Roman"/>
          <w:color w:val="FF0000"/>
          <w:sz w:val="28"/>
          <w:szCs w:val="28"/>
        </w:rPr>
        <w:t xml:space="preserve">повысить знания </w:t>
      </w:r>
      <w:r w:rsidR="00811AD1" w:rsidRPr="00043EA6">
        <w:rPr>
          <w:rStyle w:val="FontStyle1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color w:val="FF0000"/>
          <w:sz w:val="28"/>
          <w:szCs w:val="28"/>
        </w:rPr>
        <w:t xml:space="preserve">в вопросах </w:t>
      </w:r>
      <w:r>
        <w:rPr>
          <w:rStyle w:val="FontStyle13"/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43E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изменени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й</w:t>
      </w:r>
      <w:r w:rsidRPr="00043E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пенсионно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го законодательства</w:t>
      </w:r>
      <w:r w:rsidRPr="00043E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узнать </w:t>
      </w:r>
      <w:r w:rsidRPr="00043E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о возможностях и способах сохранения и увеличения накопительной части пенсии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через изучение следующего информационного материала.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right"/>
      </w:pPr>
    </w:p>
    <w:p w:rsidR="001A1497" w:rsidRDefault="001A1497">
      <w:pPr>
        <w:tabs>
          <w:tab w:val="left" w:leader="underscore" w:pos="10262"/>
        </w:tabs>
        <w:ind w:firstLine="709"/>
        <w:jc w:val="both"/>
        <w:rPr>
          <w:rStyle w:val="FontStyle13"/>
          <w:rFonts w:cs="Times New Roman"/>
          <w:b/>
          <w:sz w:val="28"/>
          <w:szCs w:val="28"/>
        </w:rPr>
      </w:pPr>
      <w:r>
        <w:rPr>
          <w:rStyle w:val="FontStyle13"/>
          <w:rFonts w:cs="Times New Roman"/>
          <w:b/>
          <w:sz w:val="28"/>
          <w:szCs w:val="28"/>
        </w:rPr>
        <w:t>Пояснительная записка Общероссийского Профсоюза образования по проектам Федеральных законов «О страховых пенсиях», «О накопительной пенсии» и «О внесении изменений в отдельные законодательные акты Российской Федерации в связи с принятием Федерального закона «О страховых пенсиях» и Федерального закона «О накопительной пенсии»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</w:pP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Анализируя изменения пенсионного законодательства, хотелось бы отметить, что Минтрудом России к данному моменту подготовлены законопроекты, которые более конкретно позволяют судить о реалиях, ожидающих нас, чем это было в предлагаемой ранее Стратегии долгосрочного развития пенсионной системы Российской Федерации. 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Если говорить об ожидаемых результатах, то это означает, что будет создана новая система, позволяющая  гражданам формировать свою пенсию  из  нескольких  «самостоятельных» источников, состоящих из  государственной системы обязательного пенсионного страхования с входящими сюда  страховым и накопительным компонентом, корпоративной и негосударственной (частной) пенсией. 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Также предлагается новая формула расчета страховой пенсии, по которой  её объем  будет зависеть от целого ряда показателей. В   том числе   не только  и не столько от величины заработной платы,  но и  от страхового стажа, т.е.  количества  лет, которые  работник  проработал до оформления пенсии, и от дохода ПФР в  год получения  работником пенсии. Например, коэффициент  возраста для работников, имеющих стаж на момент оформления пенсии менее 30 лет  повлияет на  общую величину страховой пенсии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>т.к. денежная масса будет перераспределяться  в пользу работников, имеющих больший трудовой стаж, за счет тех, у кого этот стаж меньше.  При этом если вдруг какой-то год окажется неудачным в части дохода ПФР,  то соответственно и это отразится  на уменьшении объема страховой пенсии.  Таким образом, предлагаемая новая формула расчета страховой пенсии заведомо не даст работникам  бюджетной сферы какие-либо преференции, а наоборот, еще больше может  усложнить проблему их пенсионного обеспечения. Тем более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что  работники бюджетной сферы не могут рассчитывать на  участие в корпоративной пенсионной системе (т.к. работодатель не имеет возможности  её финансировать)  и  вряд ли смогут  (в силу своих доходов) самостоятельно формировать частную (добровольную) пенсию.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Остается добавить, что размер пенсии у работающих пенсионеров, несмотря на удержание страховых  взносов,  не будет пересчитываться, т.е. увеличение пенсии может быть возможным только за счёт доходности ПФР. 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С учетом вышесказанного, мы считаем, что введение новой формулы расчета </w:t>
      </w:r>
      <w:r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страховой пенсии не будет служить улучшению пенсионного обеспечения работников бюджетной сферы и вряд ли должно находить поддержку с нашей стороны и тем более не может служить основанием для отказа от накопительной части пенсии.</w:t>
      </w:r>
    </w:p>
    <w:p w:rsidR="004B00EB" w:rsidRDefault="004B00EB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Есть в законопроектах и положительные для работников бюджетной сферы позиции: во-первых,  благодаря, в том числе, обращениям Ассоциации Профсоюзов работников непроизводственной сферы Российской Федерации к Президенту и Правительству России, предоставление досрочной пенсии для работников бюджетной сферы сохранено в прежней редакции  ( т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для тех же категорий работников образования выход на пенсию осуществляется при достижении 25 летнего педагогического стажа) и во, вторых, позиция Минтруда по вопросу сохранения накопительной  пенсии была изменена,  и на сегодняшний день у работников бюджетной сферы  остается   возможность увеличения  общего размера пенсии за счёт управления   накопительной пенсией. 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Накопительная пенсия финансируется не на принципе ответственности поколений, а за счет отчислений работодателя (6% от его фонда оплаты труда), сделанных в пользу конкретного работника.  При сегодняшней и, особенно, завтрашней демографии -  это достаточно значимая позиция. При успешном управлении  накопительной пенсией  (со средней доходностью не ниже уровня инфляции)  -  её  размер может составить существенное  дополнение к  страховой пенсии.  Такое управление, на сегодняшний день, могут обеспечить только негосударственные пенсионные фонды и частные управляющие компании.  Следует добавить, что  накопительная пенсия – та часть, которая  наследуется в установленном порядке. 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Сегодня законопроекты предоставляют  работнику возможность определиться,  какой процент  накопительной части  пенсии они оставляют за собой.  По умолчанию, 4% взноса    будет передано на страховую часть пенсии. Это касается «молчунов», чьи накопления управляются Внешэкономбанком. Для тех же, кто уже  выбрал НПФ или частную управляющую компанию, по умолчанию остаются 6% накопительного взноса. Таким образом,  сегодня  работникам  образования необходимо  определиться  с тем, будут ли они уменьшать размер своей накопительной составляющей за счет передачи ее части в страховую часть трудовой пенсии или нет. Здесь стоит повториться, что  сохранить 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>и приумножить при успешном управлении)  все 6% накопительной части можно передав её под управление в НПФ или частной управляющей компании.</w:t>
      </w: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Сегодня от работников  требуется более активное, осознанное отношение к формированию своей будущей пенсии. Конечно, с этой целью и от самого работника и от нас требуется организация работы по повышению уровня финансовой грамотности, в том числе в вопросах пенсионного обеспечения.</w:t>
      </w:r>
    </w:p>
    <w:p w:rsidR="001A1497" w:rsidRDefault="001A1497" w:rsidP="00811AD1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sectPr w:rsidR="001A1497" w:rsidSect="00811AD1">
          <w:pgSz w:w="11906" w:h="16838"/>
          <w:pgMar w:top="851" w:right="849" w:bottom="851" w:left="851" w:header="720" w:footer="720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docGrid w:linePitch="360"/>
        </w:sectPr>
      </w:pPr>
      <w:r>
        <w:rPr>
          <w:rStyle w:val="FontStyle13"/>
          <w:rFonts w:ascii="Times New Roman" w:hAnsi="Times New Roman" w:cs="Times New Roman"/>
          <w:sz w:val="28"/>
          <w:szCs w:val="28"/>
        </w:rPr>
        <w:t>Это посильно для нашего Профсоюза, поскольку он располагает единственным в бюджетной сфере отраслевым пенсионным фондом, способным, при участии своих специалистов, помочь организовать в территориях работу по повышению уровня финансовой грамотности в вопросах пенсионного обеспечения. В то же время, за счет социального характера самого фонда, он способен предложить работникам образования высокую доходность и надежность в случае сотрудничества с ним</w:t>
      </w:r>
      <w:r w:rsidR="00043EA6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1A1497" w:rsidRDefault="001A1497" w:rsidP="00811AD1">
      <w:pPr>
        <w:pStyle w:val="Style7"/>
        <w:tabs>
          <w:tab w:val="left" w:leader="underscore" w:pos="10262"/>
        </w:tabs>
        <w:spacing w:line="240" w:lineRule="auto"/>
        <w:jc w:val="both"/>
      </w:pP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</w:pPr>
    </w:p>
    <w:p w:rsidR="001A1497" w:rsidRDefault="001A1497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A1497" w:rsidSect="00811AD1">
      <w:pgSz w:w="11906" w:h="16838"/>
      <w:pgMar w:top="1134" w:right="1134" w:bottom="1134" w:left="1134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FB7147F"/>
    <w:multiLevelType w:val="hybridMultilevel"/>
    <w:tmpl w:val="BA4A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F5D69"/>
    <w:rsid w:val="00043EA6"/>
    <w:rsid w:val="001A1497"/>
    <w:rsid w:val="002D33BB"/>
    <w:rsid w:val="002F5D69"/>
    <w:rsid w:val="003959C7"/>
    <w:rsid w:val="003D5F2A"/>
    <w:rsid w:val="004B00EB"/>
    <w:rsid w:val="00510E47"/>
    <w:rsid w:val="00721B5B"/>
    <w:rsid w:val="007A6804"/>
    <w:rsid w:val="00811AD1"/>
    <w:rsid w:val="00A225EE"/>
    <w:rsid w:val="00A95C8E"/>
    <w:rsid w:val="00D17BB9"/>
    <w:rsid w:val="00F2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8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C8E"/>
  </w:style>
  <w:style w:type="character" w:customStyle="1" w:styleId="WW-Absatz-Standardschriftart">
    <w:name w:val="WW-Absatz-Standardschriftart"/>
    <w:rsid w:val="00A95C8E"/>
  </w:style>
  <w:style w:type="character" w:customStyle="1" w:styleId="WW-Absatz-Standardschriftart1">
    <w:name w:val="WW-Absatz-Standardschriftart1"/>
    <w:rsid w:val="00A95C8E"/>
  </w:style>
  <w:style w:type="character" w:customStyle="1" w:styleId="WW-Absatz-Standardschriftart11">
    <w:name w:val="WW-Absatz-Standardschriftart11"/>
    <w:rsid w:val="00A95C8E"/>
  </w:style>
  <w:style w:type="character" w:customStyle="1" w:styleId="WW-Absatz-Standardschriftart111">
    <w:name w:val="WW-Absatz-Standardschriftart111"/>
    <w:rsid w:val="00A95C8E"/>
  </w:style>
  <w:style w:type="character" w:customStyle="1" w:styleId="WW-Absatz-Standardschriftart1111">
    <w:name w:val="WW-Absatz-Standardschriftart1111"/>
    <w:rsid w:val="00A95C8E"/>
  </w:style>
  <w:style w:type="character" w:customStyle="1" w:styleId="WW-Absatz-Standardschriftart11111">
    <w:name w:val="WW-Absatz-Standardschriftart11111"/>
    <w:rsid w:val="00A95C8E"/>
  </w:style>
  <w:style w:type="character" w:customStyle="1" w:styleId="WW-Absatz-Standardschriftart111111">
    <w:name w:val="WW-Absatz-Standardschriftart111111"/>
    <w:rsid w:val="00A95C8E"/>
  </w:style>
  <w:style w:type="character" w:customStyle="1" w:styleId="WW-Absatz-Standardschriftart1111111">
    <w:name w:val="WW-Absatz-Standardschriftart1111111"/>
    <w:rsid w:val="00A95C8E"/>
  </w:style>
  <w:style w:type="character" w:customStyle="1" w:styleId="WW-Absatz-Standardschriftart11111111">
    <w:name w:val="WW-Absatz-Standardschriftart11111111"/>
    <w:rsid w:val="00A95C8E"/>
  </w:style>
  <w:style w:type="character" w:customStyle="1" w:styleId="WW-Absatz-Standardschriftart111111111">
    <w:name w:val="WW-Absatz-Standardschriftart111111111"/>
    <w:rsid w:val="00A95C8E"/>
  </w:style>
  <w:style w:type="character" w:customStyle="1" w:styleId="WW-Absatz-Standardschriftart1111111111">
    <w:name w:val="WW-Absatz-Standardschriftart1111111111"/>
    <w:rsid w:val="00A95C8E"/>
  </w:style>
  <w:style w:type="character" w:customStyle="1" w:styleId="WW-Absatz-Standardschriftart11111111111">
    <w:name w:val="WW-Absatz-Standardschriftart11111111111"/>
    <w:rsid w:val="00A95C8E"/>
  </w:style>
  <w:style w:type="character" w:customStyle="1" w:styleId="WW-Absatz-Standardschriftart111111111111">
    <w:name w:val="WW-Absatz-Standardschriftart111111111111"/>
    <w:rsid w:val="00A95C8E"/>
  </w:style>
  <w:style w:type="character" w:customStyle="1" w:styleId="WW-Absatz-Standardschriftart1111111111111">
    <w:name w:val="WW-Absatz-Standardschriftart1111111111111"/>
    <w:rsid w:val="00A95C8E"/>
  </w:style>
  <w:style w:type="character" w:customStyle="1" w:styleId="a3">
    <w:name w:val="Символ нумерации"/>
    <w:rsid w:val="00A95C8E"/>
  </w:style>
  <w:style w:type="character" w:customStyle="1" w:styleId="a4">
    <w:name w:val="Маркеры списка"/>
    <w:rsid w:val="00A95C8E"/>
    <w:rPr>
      <w:rFonts w:ascii="OpenSymbol" w:eastAsia="OpenSymbol" w:hAnsi="OpenSymbol" w:cs="OpenSymbol"/>
    </w:rPr>
  </w:style>
  <w:style w:type="character" w:customStyle="1" w:styleId="FontStyle13">
    <w:name w:val="Font Style13"/>
    <w:rsid w:val="00A95C8E"/>
    <w:rPr>
      <w:rFonts w:ascii="Arial" w:hAnsi="Arial" w:cs="Arial"/>
      <w:sz w:val="22"/>
      <w:szCs w:val="22"/>
    </w:rPr>
  </w:style>
  <w:style w:type="character" w:styleId="a5">
    <w:name w:val="Hyperlink"/>
    <w:rsid w:val="00A95C8E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A95C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95C8E"/>
    <w:pPr>
      <w:spacing w:after="120"/>
    </w:pPr>
  </w:style>
  <w:style w:type="paragraph" w:styleId="a8">
    <w:name w:val="List"/>
    <w:basedOn w:val="a7"/>
    <w:rsid w:val="00A95C8E"/>
    <w:rPr>
      <w:rFonts w:cs="Tahoma"/>
    </w:rPr>
  </w:style>
  <w:style w:type="paragraph" w:customStyle="1" w:styleId="1">
    <w:name w:val="Название1"/>
    <w:basedOn w:val="a"/>
    <w:rsid w:val="00A95C8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95C8E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95C8E"/>
    <w:pPr>
      <w:suppressLineNumbers/>
    </w:pPr>
  </w:style>
  <w:style w:type="paragraph" w:customStyle="1" w:styleId="aa">
    <w:name w:val="Заголовок таблицы"/>
    <w:basedOn w:val="a9"/>
    <w:rsid w:val="00A95C8E"/>
    <w:pPr>
      <w:jc w:val="center"/>
    </w:pPr>
    <w:rPr>
      <w:b/>
      <w:bCs/>
    </w:rPr>
  </w:style>
  <w:style w:type="paragraph" w:customStyle="1" w:styleId="Style7">
    <w:name w:val="Style7"/>
    <w:basedOn w:val="a"/>
    <w:rsid w:val="00A95C8E"/>
    <w:pPr>
      <w:autoSpaceDE w:val="0"/>
      <w:spacing w:line="413" w:lineRule="exact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A9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Links>
    <vt:vector size="12" baseType="variant">
      <vt:variant>
        <vt:i4>2359384</vt:i4>
      </vt:variant>
      <vt:variant>
        <vt:i4>3</vt:i4>
      </vt:variant>
      <vt:variant>
        <vt:i4>0</vt:i4>
      </vt:variant>
      <vt:variant>
        <vt:i4>5</vt:i4>
      </vt:variant>
      <vt:variant>
        <vt:lpwstr>mailto:profobr-gcheb@yandex.ru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mailto:profobr-gcheb@yandex.ru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Шушпанова</dc:creator>
  <cp:lastModifiedBy>7</cp:lastModifiedBy>
  <cp:revision>3</cp:revision>
  <cp:lastPrinted>2013-04-12T12:34:00Z</cp:lastPrinted>
  <dcterms:created xsi:type="dcterms:W3CDTF">2013-10-09T05:24:00Z</dcterms:created>
  <dcterms:modified xsi:type="dcterms:W3CDTF">2013-10-09T05:30:00Z</dcterms:modified>
</cp:coreProperties>
</file>