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3B" w:rsidRDefault="007B1A3B" w:rsidP="007B1A3B">
      <w:pPr>
        <w:pStyle w:val="Style8"/>
        <w:widowControl/>
        <w:spacing w:before="5" w:line="240" w:lineRule="auto"/>
        <w:ind w:firstLine="567"/>
        <w:jc w:val="center"/>
        <w:rPr>
          <w:b/>
          <w:color w:val="FF0000"/>
          <w:sz w:val="40"/>
          <w:szCs w:val="40"/>
        </w:rPr>
      </w:pPr>
      <w:r w:rsidRPr="007B1A3B">
        <w:rPr>
          <w:b/>
          <w:color w:val="FF0000"/>
          <w:sz w:val="40"/>
          <w:szCs w:val="40"/>
        </w:rPr>
        <w:t xml:space="preserve">Мониторинг освоения детьми групп </w:t>
      </w:r>
      <w:r>
        <w:rPr>
          <w:b/>
          <w:color w:val="FF0000"/>
          <w:sz w:val="40"/>
          <w:szCs w:val="40"/>
        </w:rPr>
        <w:t>оздоровительно</w:t>
      </w:r>
      <w:r w:rsidRPr="007B1A3B">
        <w:rPr>
          <w:b/>
          <w:color w:val="FF0000"/>
          <w:sz w:val="40"/>
          <w:szCs w:val="40"/>
        </w:rPr>
        <w:t>й направленности образовательной программы по образовательным областям</w:t>
      </w:r>
    </w:p>
    <w:p w:rsidR="007B1A3B" w:rsidRPr="007B1A3B" w:rsidRDefault="007B1A3B" w:rsidP="007B1A3B">
      <w:pPr>
        <w:pStyle w:val="Style8"/>
        <w:widowControl/>
        <w:spacing w:before="5" w:line="240" w:lineRule="auto"/>
        <w:ind w:firstLine="567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за 2012-2013 </w:t>
      </w:r>
      <w:proofErr w:type="spellStart"/>
      <w:r>
        <w:rPr>
          <w:b/>
          <w:color w:val="FF0000"/>
          <w:sz w:val="40"/>
          <w:szCs w:val="40"/>
        </w:rPr>
        <w:t>у.</w:t>
      </w:r>
      <w:proofErr w:type="gramStart"/>
      <w:r w:rsidRPr="007B1A3B">
        <w:rPr>
          <w:b/>
          <w:color w:val="FF0000"/>
          <w:sz w:val="40"/>
          <w:szCs w:val="40"/>
        </w:rPr>
        <w:t>г</w:t>
      </w:r>
      <w:proofErr w:type="spellEnd"/>
      <w:proofErr w:type="gramEnd"/>
      <w:r w:rsidRPr="007B1A3B">
        <w:rPr>
          <w:b/>
          <w:color w:val="FF0000"/>
          <w:sz w:val="40"/>
          <w:szCs w:val="40"/>
        </w:rPr>
        <w:t>.</w:t>
      </w:r>
    </w:p>
    <w:p w:rsidR="007B1A3B" w:rsidRDefault="007B1A3B" w:rsidP="007B1A3B">
      <w:pPr>
        <w:pStyle w:val="Style8"/>
        <w:widowControl/>
        <w:spacing w:before="5" w:line="240" w:lineRule="auto"/>
        <w:ind w:firstLine="567"/>
        <w:jc w:val="both"/>
        <w:rPr>
          <w:color w:val="000000"/>
          <w:sz w:val="28"/>
        </w:rPr>
      </w:pPr>
    </w:p>
    <w:tbl>
      <w:tblPr>
        <w:tblStyle w:val="a3"/>
        <w:tblpPr w:leftFromText="180" w:rightFromText="180" w:vertAnchor="text" w:horzAnchor="margin" w:tblpXSpec="center" w:tblpY="22"/>
        <w:tblW w:w="9889" w:type="dxa"/>
        <w:tblLayout w:type="fixed"/>
        <w:tblLook w:val="04A0"/>
      </w:tblPr>
      <w:tblGrid>
        <w:gridCol w:w="392"/>
        <w:gridCol w:w="1701"/>
        <w:gridCol w:w="709"/>
        <w:gridCol w:w="567"/>
        <w:gridCol w:w="708"/>
        <w:gridCol w:w="567"/>
        <w:gridCol w:w="851"/>
        <w:gridCol w:w="567"/>
        <w:gridCol w:w="709"/>
        <w:gridCol w:w="567"/>
        <w:gridCol w:w="708"/>
        <w:gridCol w:w="567"/>
        <w:gridCol w:w="709"/>
        <w:gridCol w:w="567"/>
      </w:tblGrid>
      <w:tr w:rsidR="007B1A3B" w:rsidRPr="00BC226F" w:rsidTr="005E241B">
        <w:tc>
          <w:tcPr>
            <w:tcW w:w="392" w:type="dxa"/>
            <w:vMerge w:val="restart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FFFF00"/>
          </w:tcPr>
          <w:p w:rsidR="007B1A3B" w:rsidRPr="00F315A5" w:rsidRDefault="007B1A3B" w:rsidP="005E241B">
            <w:pPr>
              <w:ind w:left="-113" w:right="-113"/>
            </w:pPr>
            <w:r w:rsidRPr="00F315A5">
              <w:t>Образовательная область</w:t>
            </w:r>
          </w:p>
        </w:tc>
        <w:tc>
          <w:tcPr>
            <w:tcW w:w="7796" w:type="dxa"/>
            <w:gridSpan w:val="1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Уровни освоения программного материала</w:t>
            </w:r>
          </w:p>
        </w:tc>
      </w:tr>
      <w:tr w:rsidR="007B1A3B" w:rsidRPr="00BC226F" w:rsidTr="005E241B">
        <w:tc>
          <w:tcPr>
            <w:tcW w:w="392" w:type="dxa"/>
            <w:vMerge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B1A3B" w:rsidRPr="00F315A5" w:rsidRDefault="007B1A3B" w:rsidP="005E241B">
            <w:pPr>
              <w:ind w:left="-113" w:right="-113"/>
            </w:pPr>
          </w:p>
        </w:tc>
        <w:tc>
          <w:tcPr>
            <w:tcW w:w="2551" w:type="dxa"/>
            <w:gridSpan w:val="4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высокий</w:t>
            </w:r>
          </w:p>
        </w:tc>
        <w:tc>
          <w:tcPr>
            <w:tcW w:w="2694" w:type="dxa"/>
            <w:gridSpan w:val="4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средний</w:t>
            </w:r>
          </w:p>
        </w:tc>
        <w:tc>
          <w:tcPr>
            <w:tcW w:w="2551" w:type="dxa"/>
            <w:gridSpan w:val="4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ниже среднего</w:t>
            </w:r>
          </w:p>
        </w:tc>
      </w:tr>
      <w:tr w:rsidR="007B1A3B" w:rsidRPr="00BC226F" w:rsidTr="005E241B">
        <w:tc>
          <w:tcPr>
            <w:tcW w:w="392" w:type="dxa"/>
            <w:vMerge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B1A3B" w:rsidRPr="00F315A5" w:rsidRDefault="007B1A3B" w:rsidP="005E241B">
            <w:pPr>
              <w:ind w:left="-113" w:right="-113"/>
            </w:pPr>
          </w:p>
        </w:tc>
        <w:tc>
          <w:tcPr>
            <w:tcW w:w="1276" w:type="dxa"/>
            <w:gridSpan w:val="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Начало года.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Конец года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Начало года.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Конец года</w:t>
            </w:r>
          </w:p>
        </w:tc>
        <w:tc>
          <w:tcPr>
            <w:tcW w:w="1275" w:type="dxa"/>
            <w:gridSpan w:val="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Начало года.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Конец года</w:t>
            </w:r>
          </w:p>
        </w:tc>
      </w:tr>
      <w:tr w:rsidR="007B1A3B" w:rsidRPr="00BC226F" w:rsidTr="005E241B">
        <w:tc>
          <w:tcPr>
            <w:tcW w:w="392" w:type="dxa"/>
            <w:vMerge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FFFF00"/>
          </w:tcPr>
          <w:p w:rsidR="007B1A3B" w:rsidRPr="00F315A5" w:rsidRDefault="007B1A3B" w:rsidP="005E241B">
            <w:pPr>
              <w:ind w:left="-113" w:right="-113"/>
            </w:pPr>
          </w:p>
        </w:tc>
        <w:tc>
          <w:tcPr>
            <w:tcW w:w="709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%</w:t>
            </w:r>
          </w:p>
        </w:tc>
        <w:tc>
          <w:tcPr>
            <w:tcW w:w="708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%</w:t>
            </w:r>
          </w:p>
        </w:tc>
        <w:tc>
          <w:tcPr>
            <w:tcW w:w="851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%</w:t>
            </w:r>
          </w:p>
        </w:tc>
        <w:tc>
          <w:tcPr>
            <w:tcW w:w="709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%</w:t>
            </w:r>
          </w:p>
        </w:tc>
        <w:tc>
          <w:tcPr>
            <w:tcW w:w="708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%</w:t>
            </w:r>
          </w:p>
        </w:tc>
        <w:tc>
          <w:tcPr>
            <w:tcW w:w="709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Кол-во</w:t>
            </w:r>
          </w:p>
        </w:tc>
        <w:tc>
          <w:tcPr>
            <w:tcW w:w="567" w:type="dxa"/>
            <w:shd w:val="clear" w:color="auto" w:fill="FFFF00"/>
          </w:tcPr>
          <w:p w:rsidR="007B1A3B" w:rsidRPr="00F315A5" w:rsidRDefault="007B1A3B" w:rsidP="005E241B">
            <w:pPr>
              <w:ind w:left="-113" w:right="-113"/>
              <w:jc w:val="center"/>
            </w:pPr>
            <w:r w:rsidRPr="00F315A5">
              <w:t>%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27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31.7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64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75.3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58.9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17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24.7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8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9.4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0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Здоровье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39,6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61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71.8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54.8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21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28.2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5.7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0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Познание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31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36.5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49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57.7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49.4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37.6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14.1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4.7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Коммуникация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23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27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57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66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45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53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25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29.4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17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20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4.6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Чтение художественной литературы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37.6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56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69,5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38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43.7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26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30.5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16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18.7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0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Безопасность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25.9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53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62.4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48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56.5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35.3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15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17.6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2.3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Труд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31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36.4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60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70.5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51.8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25.9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11.8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3.6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Социализация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23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27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63.5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61.1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30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35.3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11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11.9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1.2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9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Художественное творчество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27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31.7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43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50,2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45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53.1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40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47.2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13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15.2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2.5</w:t>
            </w:r>
          </w:p>
        </w:tc>
      </w:tr>
      <w:tr w:rsidR="007B1A3B" w:rsidRPr="00BC226F" w:rsidTr="005E241B">
        <w:tc>
          <w:tcPr>
            <w:tcW w:w="392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  <w:jc w:val="center"/>
              <w:rPr>
                <w:b/>
              </w:rPr>
            </w:pPr>
            <w:r w:rsidRPr="00F315A5">
              <w:rPr>
                <w:b/>
              </w:rPr>
              <w:t>10</w:t>
            </w:r>
          </w:p>
        </w:tc>
        <w:tc>
          <w:tcPr>
            <w:tcW w:w="1701" w:type="dxa"/>
            <w:shd w:val="clear" w:color="auto" w:fill="FFC000"/>
          </w:tcPr>
          <w:p w:rsidR="007B1A3B" w:rsidRPr="00F315A5" w:rsidRDefault="007B1A3B" w:rsidP="005E241B">
            <w:pPr>
              <w:ind w:left="-113" w:right="-113"/>
            </w:pPr>
            <w:r w:rsidRPr="00F315A5">
              <w:t>Музыка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29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34.2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55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64.7</w:t>
            </w:r>
          </w:p>
        </w:tc>
        <w:tc>
          <w:tcPr>
            <w:tcW w:w="851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44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48.2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24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28.2</w:t>
            </w:r>
          </w:p>
        </w:tc>
        <w:tc>
          <w:tcPr>
            <w:tcW w:w="708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15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FF0000"/>
              </w:rPr>
            </w:pPr>
            <w:r w:rsidRPr="00BC226F">
              <w:rPr>
                <w:color w:val="FF0000"/>
              </w:rPr>
              <w:t>17.6</w:t>
            </w:r>
          </w:p>
        </w:tc>
        <w:tc>
          <w:tcPr>
            <w:tcW w:w="709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</w:pPr>
            <w:r w:rsidRPr="00BC226F">
              <w:t>6</w:t>
            </w:r>
          </w:p>
        </w:tc>
        <w:tc>
          <w:tcPr>
            <w:tcW w:w="567" w:type="dxa"/>
            <w:vAlign w:val="center"/>
          </w:tcPr>
          <w:p w:rsidR="007B1A3B" w:rsidRPr="00BC226F" w:rsidRDefault="007B1A3B" w:rsidP="005E241B">
            <w:pPr>
              <w:ind w:left="-113" w:right="-113"/>
              <w:jc w:val="center"/>
              <w:rPr>
                <w:color w:val="00B050"/>
              </w:rPr>
            </w:pPr>
            <w:r w:rsidRPr="00BC226F">
              <w:rPr>
                <w:color w:val="00B050"/>
              </w:rPr>
              <w:t>1</w:t>
            </w:r>
          </w:p>
        </w:tc>
      </w:tr>
    </w:tbl>
    <w:p w:rsidR="007B1A3B" w:rsidRDefault="007B1A3B" w:rsidP="007B1A3B">
      <w:pPr>
        <w:pStyle w:val="a4"/>
        <w:tabs>
          <w:tab w:val="left" w:pos="142"/>
        </w:tabs>
        <w:spacing w:line="276" w:lineRule="auto"/>
        <w:ind w:left="0" w:right="-1" w:firstLine="567"/>
        <w:jc w:val="both"/>
        <w:rPr>
          <w:sz w:val="28"/>
          <w:szCs w:val="24"/>
        </w:rPr>
      </w:pPr>
    </w:p>
    <w:p w:rsidR="007B1A3B" w:rsidRPr="00F315A5" w:rsidRDefault="007B1A3B" w:rsidP="007B1A3B">
      <w:pPr>
        <w:pStyle w:val="a4"/>
        <w:tabs>
          <w:tab w:val="left" w:pos="142"/>
        </w:tabs>
        <w:spacing w:line="276" w:lineRule="auto"/>
        <w:ind w:left="0" w:right="-1" w:firstLine="567"/>
        <w:jc w:val="both"/>
        <w:rPr>
          <w:sz w:val="28"/>
          <w:szCs w:val="24"/>
        </w:rPr>
      </w:pPr>
      <w:r>
        <w:rPr>
          <w:sz w:val="28"/>
          <w:szCs w:val="24"/>
        </w:rPr>
        <w:t>Наблюдается позитивная динамика качества знаний дошкольников по всем образовательным областям:</w:t>
      </w:r>
    </w:p>
    <w:p w:rsidR="007B1A3B" w:rsidRDefault="007B1A3B" w:rsidP="007B1A3B">
      <w:pPr>
        <w:pStyle w:val="a4"/>
        <w:tabs>
          <w:tab w:val="left" w:pos="142"/>
        </w:tabs>
        <w:ind w:left="0" w:right="-1"/>
        <w:jc w:val="both"/>
        <w:rPr>
          <w:b/>
          <w:color w:val="4F81BD" w:themeColor="accent1"/>
          <w:sz w:val="28"/>
          <w:szCs w:val="24"/>
        </w:rPr>
      </w:pP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физическая культура - на 43,6%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безопасность – на 36,5 %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здоровье – на 15,2%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труд – 34,1%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познание – на 21,2%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социализация – на 36,5 %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коммуникация – на 26%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</w:t>
      </w:r>
      <w:r>
        <w:rPr>
          <w:b/>
          <w:color w:val="4F81BD" w:themeColor="accent1"/>
          <w:sz w:val="28"/>
          <w:szCs w:val="24"/>
        </w:rPr>
        <w:t xml:space="preserve"> </w:t>
      </w:r>
      <w:r w:rsidRPr="004C42DB">
        <w:rPr>
          <w:b/>
          <w:color w:val="4F81BD" w:themeColor="accent1"/>
          <w:sz w:val="28"/>
          <w:szCs w:val="24"/>
        </w:rPr>
        <w:t>художеств</w:t>
      </w:r>
      <w:proofErr w:type="gramStart"/>
      <w:r w:rsidRPr="004C42DB">
        <w:rPr>
          <w:b/>
          <w:color w:val="4F81BD" w:themeColor="accent1"/>
          <w:sz w:val="28"/>
          <w:szCs w:val="24"/>
        </w:rPr>
        <w:t>.</w:t>
      </w:r>
      <w:proofErr w:type="gramEnd"/>
      <w:r w:rsidRPr="004C42DB">
        <w:rPr>
          <w:b/>
          <w:color w:val="4F81BD" w:themeColor="accent1"/>
          <w:sz w:val="28"/>
          <w:szCs w:val="24"/>
        </w:rPr>
        <w:t xml:space="preserve"> </w:t>
      </w:r>
      <w:proofErr w:type="gramStart"/>
      <w:r w:rsidRPr="004C42DB">
        <w:rPr>
          <w:b/>
          <w:color w:val="4F81BD" w:themeColor="accent1"/>
          <w:sz w:val="28"/>
          <w:szCs w:val="24"/>
        </w:rPr>
        <w:t>т</w:t>
      </w:r>
      <w:proofErr w:type="gramEnd"/>
      <w:r w:rsidRPr="004C42DB">
        <w:rPr>
          <w:b/>
          <w:color w:val="4F81BD" w:themeColor="accent1"/>
          <w:sz w:val="28"/>
          <w:szCs w:val="24"/>
        </w:rPr>
        <w:t>ворчество – на 18,5 %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чтение художественной литературы – на 31,9%</w:t>
      </w:r>
    </w:p>
    <w:p w:rsidR="007B1A3B" w:rsidRPr="004C42DB" w:rsidRDefault="007B1A3B" w:rsidP="007B1A3B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right="-1"/>
        <w:jc w:val="both"/>
        <w:rPr>
          <w:b/>
          <w:color w:val="4F81BD" w:themeColor="accent1"/>
          <w:sz w:val="28"/>
          <w:szCs w:val="24"/>
        </w:rPr>
      </w:pPr>
      <w:r w:rsidRPr="004C42DB">
        <w:rPr>
          <w:b/>
          <w:color w:val="4F81BD" w:themeColor="accent1"/>
          <w:sz w:val="28"/>
          <w:szCs w:val="24"/>
        </w:rPr>
        <w:t>- музыка – на 30,5 %</w:t>
      </w:r>
    </w:p>
    <w:p w:rsidR="007B1A3B" w:rsidRDefault="007B1A3B" w:rsidP="007B1A3B">
      <w:pPr>
        <w:ind w:firstLine="567"/>
        <w:jc w:val="both"/>
        <w:rPr>
          <w:sz w:val="28"/>
        </w:rPr>
      </w:pPr>
    </w:p>
    <w:p w:rsidR="007B1A3B" w:rsidRPr="00F315A5" w:rsidRDefault="007B1A3B" w:rsidP="007B1A3B">
      <w:pPr>
        <w:spacing w:line="276" w:lineRule="auto"/>
        <w:ind w:firstLine="567"/>
        <w:jc w:val="both"/>
        <w:rPr>
          <w:sz w:val="28"/>
        </w:rPr>
      </w:pPr>
      <w:r w:rsidRPr="00F315A5">
        <w:rPr>
          <w:sz w:val="28"/>
        </w:rPr>
        <w:t>Достаточно высокий уровень реализации государственного стандарта педагогическим коллективом ДОУ, систем работы, использование программ и технологий инновационного типа позволило добиться положительных результатов в развитии детей.</w:t>
      </w:r>
    </w:p>
    <w:p w:rsidR="007B1A3B" w:rsidRDefault="007B1A3B" w:rsidP="007B1A3B">
      <w:pPr>
        <w:pStyle w:val="Style8"/>
        <w:widowControl/>
        <w:spacing w:before="5" w:line="276" w:lineRule="auto"/>
        <w:ind w:firstLine="567"/>
        <w:jc w:val="both"/>
        <w:rPr>
          <w:color w:val="000000"/>
          <w:sz w:val="28"/>
        </w:rPr>
      </w:pPr>
      <w:r w:rsidRPr="004C42DB">
        <w:rPr>
          <w:color w:val="000000"/>
          <w:sz w:val="28"/>
        </w:rPr>
        <w:t xml:space="preserve">Из индивидуальных бесед с родителями и отзывов учителей школ № </w:t>
      </w:r>
      <w:r>
        <w:rPr>
          <w:color w:val="000000"/>
          <w:sz w:val="28"/>
        </w:rPr>
        <w:t>55</w:t>
      </w:r>
      <w:r w:rsidRPr="004C42DB">
        <w:rPr>
          <w:color w:val="000000"/>
          <w:sz w:val="28"/>
        </w:rPr>
        <w:t xml:space="preserve">, № </w:t>
      </w:r>
      <w:r>
        <w:rPr>
          <w:color w:val="000000"/>
          <w:sz w:val="28"/>
        </w:rPr>
        <w:t>46, №41</w:t>
      </w:r>
      <w:r w:rsidRPr="004C42DB">
        <w:rPr>
          <w:color w:val="000000"/>
          <w:sz w:val="28"/>
        </w:rPr>
        <w:t xml:space="preserve"> выявлено, что выпускники нашего ДОУ хорошо осваивают </w:t>
      </w:r>
      <w:r w:rsidRPr="004C42DB">
        <w:rPr>
          <w:color w:val="000000"/>
          <w:sz w:val="28"/>
        </w:rPr>
        <w:lastRenderedPageBreak/>
        <w:t>школьную программу; уровень их подготовки соответствует требованиям, предъявляемым к выпускникам ДОУ, подготовка детей к школе оценивается педагогами как хорошая, родители воспитанников удовлетворены уровнем подготовки детей к школе</w:t>
      </w:r>
      <w:r>
        <w:rPr>
          <w:color w:val="000000"/>
          <w:sz w:val="28"/>
        </w:rPr>
        <w:t>.</w:t>
      </w:r>
    </w:p>
    <w:p w:rsidR="007B1A3B" w:rsidRDefault="007B1A3B" w:rsidP="007B1A3B">
      <w:pPr>
        <w:contextualSpacing/>
        <w:jc w:val="center"/>
        <w:rPr>
          <w:b/>
          <w:i/>
        </w:rPr>
      </w:pPr>
    </w:p>
    <w:p w:rsidR="007B1A3B" w:rsidRDefault="007B1A3B" w:rsidP="007B1A3B">
      <w:pPr>
        <w:contextualSpacing/>
        <w:jc w:val="center"/>
        <w:rPr>
          <w:b/>
          <w:i/>
        </w:rPr>
      </w:pPr>
    </w:p>
    <w:p w:rsidR="007B1A3B" w:rsidRPr="007B1A3B" w:rsidRDefault="007B1A3B" w:rsidP="007B1A3B">
      <w:pPr>
        <w:contextualSpacing/>
        <w:jc w:val="center"/>
        <w:rPr>
          <w:b/>
          <w:color w:val="FF0000"/>
          <w:sz w:val="40"/>
          <w:szCs w:val="40"/>
        </w:rPr>
      </w:pPr>
      <w:r w:rsidRPr="007B1A3B">
        <w:rPr>
          <w:b/>
          <w:color w:val="FF0000"/>
          <w:sz w:val="40"/>
          <w:szCs w:val="40"/>
        </w:rPr>
        <w:t xml:space="preserve">Мониторинг освоения детьми групп компенсирующей направленности </w:t>
      </w:r>
    </w:p>
    <w:p w:rsidR="007B1A3B" w:rsidRPr="007B1A3B" w:rsidRDefault="007B1A3B" w:rsidP="007B1A3B">
      <w:pPr>
        <w:contextualSpacing/>
        <w:jc w:val="center"/>
        <w:rPr>
          <w:b/>
          <w:color w:val="FF0000"/>
          <w:sz w:val="40"/>
          <w:szCs w:val="40"/>
        </w:rPr>
      </w:pPr>
      <w:r w:rsidRPr="007B1A3B">
        <w:rPr>
          <w:b/>
          <w:color w:val="FF0000"/>
          <w:sz w:val="40"/>
          <w:szCs w:val="40"/>
        </w:rPr>
        <w:t xml:space="preserve">образовательной программы по образовательным областям </w:t>
      </w:r>
    </w:p>
    <w:p w:rsidR="007B1A3B" w:rsidRPr="007B1A3B" w:rsidRDefault="007B1A3B" w:rsidP="007B1A3B">
      <w:pPr>
        <w:contextualSpacing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за 2012-2013</w:t>
      </w:r>
      <w:r w:rsidRPr="007B1A3B">
        <w:rPr>
          <w:b/>
          <w:color w:val="FF0000"/>
          <w:sz w:val="40"/>
          <w:szCs w:val="40"/>
        </w:rPr>
        <w:t xml:space="preserve"> учебный год</w:t>
      </w:r>
    </w:p>
    <w:tbl>
      <w:tblPr>
        <w:tblpPr w:leftFromText="180" w:rightFromText="180" w:vertAnchor="text" w:horzAnchor="margin" w:tblpXSpec="center" w:tblpY="270"/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22"/>
        <w:gridCol w:w="544"/>
        <w:gridCol w:w="670"/>
        <w:gridCol w:w="672"/>
        <w:gridCol w:w="667"/>
        <w:gridCol w:w="677"/>
        <w:gridCol w:w="672"/>
        <w:gridCol w:w="672"/>
        <w:gridCol w:w="677"/>
        <w:gridCol w:w="672"/>
        <w:gridCol w:w="672"/>
        <w:gridCol w:w="672"/>
        <w:gridCol w:w="677"/>
      </w:tblGrid>
      <w:tr w:rsidR="007B1A3B" w:rsidRPr="00B81356" w:rsidTr="005E241B">
        <w:trPr>
          <w:jc w:val="center"/>
        </w:trPr>
        <w:tc>
          <w:tcPr>
            <w:tcW w:w="390" w:type="dxa"/>
            <w:vMerge w:val="restart"/>
            <w:shd w:val="clear" w:color="auto" w:fill="DAEEF3" w:themeFill="accent5" w:themeFillTint="33"/>
            <w:vAlign w:val="center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№ п/п</w:t>
            </w:r>
          </w:p>
        </w:tc>
        <w:tc>
          <w:tcPr>
            <w:tcW w:w="2122" w:type="dxa"/>
            <w:vMerge w:val="restart"/>
            <w:shd w:val="clear" w:color="auto" w:fill="DAEEF3" w:themeFill="accent5" w:themeFillTint="33"/>
            <w:vAlign w:val="center"/>
          </w:tcPr>
          <w:p w:rsidR="007B1A3B" w:rsidRPr="00B81356" w:rsidRDefault="007B1A3B" w:rsidP="005E241B">
            <w:pPr>
              <w:pStyle w:val="a6"/>
              <w:spacing w:after="0" w:line="240" w:lineRule="auto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Образовательная область</w:t>
            </w:r>
          </w:p>
        </w:tc>
        <w:tc>
          <w:tcPr>
            <w:tcW w:w="7944" w:type="dxa"/>
            <w:gridSpan w:val="1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Уровни усвоения программного материала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  <w:vMerge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</w:p>
        </w:tc>
        <w:tc>
          <w:tcPr>
            <w:tcW w:w="2122" w:type="dxa"/>
            <w:vMerge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553" w:type="dxa"/>
            <w:gridSpan w:val="4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2698" w:type="dxa"/>
            <w:gridSpan w:val="4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ниже нормы</w:t>
            </w:r>
          </w:p>
        </w:tc>
        <w:tc>
          <w:tcPr>
            <w:tcW w:w="2693" w:type="dxa"/>
            <w:gridSpan w:val="4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несоответствие развития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  <w:vMerge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</w:p>
        </w:tc>
        <w:tc>
          <w:tcPr>
            <w:tcW w:w="2122" w:type="dxa"/>
            <w:vMerge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1214" w:type="dxa"/>
            <w:gridSpan w:val="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proofErr w:type="spellStart"/>
            <w:r w:rsidRPr="00B81356">
              <w:rPr>
                <w:b/>
              </w:rPr>
              <w:t>нач</w:t>
            </w:r>
            <w:proofErr w:type="spellEnd"/>
            <w:r w:rsidRPr="00B81356">
              <w:rPr>
                <w:b/>
              </w:rPr>
              <w:t>. г.</w:t>
            </w:r>
          </w:p>
        </w:tc>
        <w:tc>
          <w:tcPr>
            <w:tcW w:w="1339" w:type="dxa"/>
            <w:gridSpan w:val="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кон</w:t>
            </w:r>
            <w:proofErr w:type="gramStart"/>
            <w:r w:rsidRPr="00B81356">
              <w:rPr>
                <w:b/>
              </w:rPr>
              <w:t>.</w:t>
            </w:r>
            <w:proofErr w:type="gramEnd"/>
            <w:r w:rsidRPr="00B81356">
              <w:rPr>
                <w:b/>
              </w:rPr>
              <w:t xml:space="preserve"> </w:t>
            </w:r>
            <w:proofErr w:type="gramStart"/>
            <w:r w:rsidRPr="00B81356">
              <w:rPr>
                <w:b/>
              </w:rPr>
              <w:t>г</w:t>
            </w:r>
            <w:proofErr w:type="gramEnd"/>
            <w:r w:rsidRPr="00B81356">
              <w:rPr>
                <w:b/>
              </w:rPr>
              <w:t>.</w:t>
            </w:r>
          </w:p>
        </w:tc>
        <w:tc>
          <w:tcPr>
            <w:tcW w:w="1349" w:type="dxa"/>
            <w:gridSpan w:val="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proofErr w:type="spellStart"/>
            <w:r w:rsidRPr="00B81356">
              <w:rPr>
                <w:b/>
              </w:rPr>
              <w:t>нач</w:t>
            </w:r>
            <w:proofErr w:type="spellEnd"/>
            <w:r w:rsidRPr="00B81356">
              <w:rPr>
                <w:b/>
              </w:rPr>
              <w:t>. г.</w:t>
            </w:r>
          </w:p>
        </w:tc>
        <w:tc>
          <w:tcPr>
            <w:tcW w:w="1349" w:type="dxa"/>
            <w:gridSpan w:val="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кон</w:t>
            </w:r>
            <w:proofErr w:type="gramStart"/>
            <w:r w:rsidRPr="00B81356">
              <w:rPr>
                <w:b/>
              </w:rPr>
              <w:t>.</w:t>
            </w:r>
            <w:proofErr w:type="gramEnd"/>
            <w:r w:rsidRPr="00B81356">
              <w:rPr>
                <w:b/>
              </w:rPr>
              <w:t xml:space="preserve"> </w:t>
            </w:r>
            <w:proofErr w:type="gramStart"/>
            <w:r w:rsidRPr="00B81356">
              <w:rPr>
                <w:b/>
              </w:rPr>
              <w:t>г</w:t>
            </w:r>
            <w:proofErr w:type="gramEnd"/>
            <w:r w:rsidRPr="00B81356">
              <w:rPr>
                <w:b/>
              </w:rPr>
              <w:t>.</w:t>
            </w:r>
          </w:p>
        </w:tc>
        <w:tc>
          <w:tcPr>
            <w:tcW w:w="1344" w:type="dxa"/>
            <w:gridSpan w:val="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proofErr w:type="spellStart"/>
            <w:r w:rsidRPr="00B81356">
              <w:rPr>
                <w:b/>
              </w:rPr>
              <w:t>нач</w:t>
            </w:r>
            <w:proofErr w:type="spellEnd"/>
            <w:r w:rsidRPr="00B81356">
              <w:rPr>
                <w:b/>
              </w:rPr>
              <w:t>. г.</w:t>
            </w:r>
          </w:p>
        </w:tc>
        <w:tc>
          <w:tcPr>
            <w:tcW w:w="1349" w:type="dxa"/>
            <w:gridSpan w:val="2"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кон</w:t>
            </w:r>
            <w:proofErr w:type="gramStart"/>
            <w:r w:rsidRPr="00B81356">
              <w:rPr>
                <w:b/>
              </w:rPr>
              <w:t>.</w:t>
            </w:r>
            <w:proofErr w:type="gramEnd"/>
            <w:r w:rsidRPr="00B81356">
              <w:rPr>
                <w:b/>
              </w:rPr>
              <w:t xml:space="preserve"> </w:t>
            </w:r>
            <w:proofErr w:type="gramStart"/>
            <w:r w:rsidRPr="00B81356">
              <w:rPr>
                <w:b/>
              </w:rPr>
              <w:t>г</w:t>
            </w:r>
            <w:proofErr w:type="gramEnd"/>
            <w:r w:rsidRPr="00B81356">
              <w:rPr>
                <w:b/>
              </w:rPr>
              <w:t>.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  <w:vMerge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</w:pPr>
          </w:p>
        </w:tc>
        <w:tc>
          <w:tcPr>
            <w:tcW w:w="2122" w:type="dxa"/>
            <w:vMerge/>
            <w:shd w:val="clear" w:color="auto" w:fill="DAEEF3" w:themeFill="accent5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contextualSpacing/>
            </w:pP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кол-во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%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кол-во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%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кол-во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%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кол-во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%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кол-во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%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кол-во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B81356">
              <w:rPr>
                <w:b/>
              </w:rPr>
              <w:t>%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1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contextualSpacing/>
              <w:rPr>
                <w:b/>
                <w:sz w:val="22"/>
              </w:rPr>
            </w:pPr>
            <w:r w:rsidRPr="0080381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</w:pPr>
            <w:r>
              <w:t>6,2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2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contextualSpacing/>
              <w:rPr>
                <w:b/>
                <w:sz w:val="22"/>
              </w:rPr>
            </w:pPr>
            <w:r w:rsidRPr="00803814">
              <w:rPr>
                <w:b/>
                <w:sz w:val="22"/>
              </w:rPr>
              <w:t>Здоровье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</w:pPr>
            <w:r>
              <w:t>34,3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3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contextualSpacing/>
              <w:rPr>
                <w:b/>
                <w:sz w:val="22"/>
              </w:rPr>
            </w:pPr>
            <w:r w:rsidRPr="00803814">
              <w:rPr>
                <w:b/>
                <w:sz w:val="22"/>
              </w:rPr>
              <w:t>Познание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4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 w:rsidRPr="00803814">
              <w:rPr>
                <w:b/>
                <w:sz w:val="22"/>
                <w:szCs w:val="20"/>
              </w:rPr>
              <w:t>Коммуникация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5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 w:rsidRPr="00803814">
              <w:rPr>
                <w:b/>
                <w:sz w:val="22"/>
                <w:szCs w:val="20"/>
              </w:rPr>
              <w:t>Чтение художественной литературы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6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 w:rsidRPr="00803814">
              <w:rPr>
                <w:b/>
                <w:sz w:val="22"/>
                <w:szCs w:val="20"/>
              </w:rPr>
              <w:t>Безопасность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3D66B7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7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 w:rsidRPr="00803814">
              <w:rPr>
                <w:b/>
                <w:sz w:val="22"/>
                <w:szCs w:val="20"/>
              </w:rPr>
              <w:t>Труд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8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 w:rsidRPr="00803814">
              <w:rPr>
                <w:b/>
                <w:sz w:val="22"/>
                <w:szCs w:val="20"/>
              </w:rPr>
              <w:t>Социализация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00420C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9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Художественное твор</w:t>
            </w:r>
            <w:r w:rsidRPr="00803814">
              <w:rPr>
                <w:b/>
                <w:sz w:val="22"/>
                <w:szCs w:val="20"/>
              </w:rPr>
              <w:t>чество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CE6193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7B1A3B" w:rsidRPr="00B81356" w:rsidTr="005E241B">
        <w:trPr>
          <w:jc w:val="center"/>
        </w:trPr>
        <w:tc>
          <w:tcPr>
            <w:tcW w:w="390" w:type="dxa"/>
          </w:tcPr>
          <w:p w:rsidR="007B1A3B" w:rsidRPr="00803814" w:rsidRDefault="007B1A3B" w:rsidP="005E241B">
            <w:pPr>
              <w:pStyle w:val="a6"/>
              <w:spacing w:after="0" w:line="240" w:lineRule="auto"/>
              <w:ind w:left="-57" w:right="-57"/>
              <w:contextualSpacing/>
              <w:jc w:val="center"/>
              <w:rPr>
                <w:b/>
              </w:rPr>
            </w:pPr>
            <w:r w:rsidRPr="00803814">
              <w:rPr>
                <w:b/>
              </w:rPr>
              <w:t>10</w:t>
            </w:r>
          </w:p>
        </w:tc>
        <w:tc>
          <w:tcPr>
            <w:tcW w:w="2122" w:type="dxa"/>
          </w:tcPr>
          <w:p w:rsidR="007B1A3B" w:rsidRPr="00803814" w:rsidRDefault="007B1A3B" w:rsidP="005E241B">
            <w:pPr>
              <w:contextualSpacing/>
              <w:rPr>
                <w:b/>
                <w:szCs w:val="20"/>
              </w:rPr>
            </w:pPr>
            <w:r w:rsidRPr="00803814">
              <w:rPr>
                <w:b/>
                <w:sz w:val="22"/>
                <w:szCs w:val="20"/>
              </w:rPr>
              <w:t>Музыка</w:t>
            </w:r>
          </w:p>
        </w:tc>
        <w:tc>
          <w:tcPr>
            <w:tcW w:w="544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0" w:type="dxa"/>
            <w:shd w:val="clear" w:color="auto" w:fill="E5DFEC" w:themeFill="accent4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672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shd w:val="clear" w:color="auto" w:fill="EAF1DD" w:themeFill="accent3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77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2" w:type="dxa"/>
            <w:shd w:val="clear" w:color="auto" w:fill="F2DBDB" w:themeFill="accent2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7" w:type="dxa"/>
            <w:shd w:val="clear" w:color="auto" w:fill="DBE5F1" w:themeFill="accent1" w:themeFillTint="33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2" w:type="dxa"/>
            <w:shd w:val="clear" w:color="auto" w:fill="DDD9C3" w:themeFill="background2" w:themeFillShade="E6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:rsidR="007B1A3B" w:rsidRPr="00B81356" w:rsidRDefault="007B1A3B" w:rsidP="005E241B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</w:tbl>
    <w:p w:rsidR="007B1A3B" w:rsidRDefault="007B1A3B" w:rsidP="007B1A3B">
      <w:pPr>
        <w:spacing w:line="276" w:lineRule="auto"/>
        <w:rPr>
          <w:sz w:val="28"/>
        </w:rPr>
      </w:pPr>
    </w:p>
    <w:p w:rsidR="007B1A3B" w:rsidRDefault="007B1A3B" w:rsidP="007B1A3B">
      <w:pPr>
        <w:spacing w:line="276" w:lineRule="auto"/>
        <w:rPr>
          <w:sz w:val="28"/>
        </w:rPr>
      </w:pPr>
      <w:r w:rsidRPr="0065383B">
        <w:rPr>
          <w:sz w:val="28"/>
        </w:rPr>
        <w:t>По сравнению с началом года на конец года наблюдается положительная динамика уровня развития детей:</w:t>
      </w:r>
    </w:p>
    <w:p w:rsidR="007B1A3B" w:rsidRPr="0065383B" w:rsidRDefault="007B1A3B" w:rsidP="007B1A3B">
      <w:pPr>
        <w:spacing w:line="276" w:lineRule="auto"/>
        <w:rPr>
          <w:sz w:val="28"/>
        </w:rPr>
      </w:pP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proofErr w:type="spellStart"/>
      <w:r w:rsidRPr="0065383B">
        <w:rPr>
          <w:sz w:val="28"/>
          <w:lang w:val="en-US"/>
        </w:rPr>
        <w:t>Физическое</w:t>
      </w:r>
      <w:proofErr w:type="spellEnd"/>
      <w:r w:rsidRPr="0065383B">
        <w:rPr>
          <w:sz w:val="28"/>
          <w:lang w:val="en-US"/>
        </w:rPr>
        <w:t xml:space="preserve"> </w:t>
      </w:r>
      <w:proofErr w:type="spellStart"/>
      <w:r w:rsidRPr="0065383B">
        <w:rPr>
          <w:sz w:val="28"/>
          <w:lang w:val="en-US"/>
        </w:rPr>
        <w:t>развитие</w:t>
      </w:r>
      <w:proofErr w:type="spellEnd"/>
      <w:r w:rsidRPr="0065383B">
        <w:rPr>
          <w:sz w:val="28"/>
        </w:rPr>
        <w:t xml:space="preserve"> </w:t>
      </w:r>
      <w:r w:rsidRPr="0065383B">
        <w:rPr>
          <w:sz w:val="28"/>
          <w:lang w:val="en-US"/>
        </w:rPr>
        <w:t xml:space="preserve">- </w:t>
      </w:r>
      <w:r w:rsidRPr="0065383B">
        <w:rPr>
          <w:sz w:val="28"/>
        </w:rPr>
        <w:t>37,5 %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Здоровье- 40,7 %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Познание – 43,7 %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Коммуникация- 31,2 %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Чтение художественной литературы- 43,7 %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Безопасность- 43,7%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Труд- 37,5 %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Социализация- 40,7 %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t>Художественное творчество- 31,3 %</w:t>
      </w:r>
    </w:p>
    <w:p w:rsidR="007B1A3B" w:rsidRPr="0065383B" w:rsidRDefault="007B1A3B" w:rsidP="007B1A3B">
      <w:pPr>
        <w:pStyle w:val="a5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sz w:val="28"/>
        </w:rPr>
      </w:pPr>
      <w:r w:rsidRPr="0065383B">
        <w:rPr>
          <w:sz w:val="28"/>
        </w:rPr>
        <w:lastRenderedPageBreak/>
        <w:t>Музыка- 12,5 %</w:t>
      </w:r>
    </w:p>
    <w:p w:rsidR="007B1A3B" w:rsidRPr="0065383B" w:rsidRDefault="007B1A3B" w:rsidP="007B1A3B">
      <w:pPr>
        <w:spacing w:line="276" w:lineRule="auto"/>
        <w:ind w:firstLine="708"/>
        <w:jc w:val="both"/>
        <w:rPr>
          <w:sz w:val="28"/>
        </w:rPr>
      </w:pPr>
      <w:proofErr w:type="gramStart"/>
      <w:r w:rsidRPr="0065383B">
        <w:rPr>
          <w:sz w:val="28"/>
        </w:rPr>
        <w:t>Положительных результатов в развитии детей позволили добиться разработанные учебные программы в соответствии с федеральными государственными требованиями, индивидуальные маршруты коррекционной работы, тесная взаимосвязанная работа всех узких специалистов ДОУ, активное сотрудничество с родителями воспитанников, а также использование инновационных технологий.</w:t>
      </w:r>
      <w:proofErr w:type="gramEnd"/>
    </w:p>
    <w:p w:rsidR="007B1A3B" w:rsidRPr="0065383B" w:rsidRDefault="007B1A3B" w:rsidP="007B1A3B">
      <w:pPr>
        <w:ind w:firstLine="567"/>
        <w:jc w:val="center"/>
        <w:rPr>
          <w:rStyle w:val="FontStyle41"/>
          <w:b/>
          <w:color w:val="FF0000"/>
          <w:sz w:val="36"/>
        </w:rPr>
      </w:pPr>
    </w:p>
    <w:p w:rsidR="0097375F" w:rsidRPr="007B1A3B" w:rsidRDefault="0097375F" w:rsidP="007B1A3B">
      <w:pPr>
        <w:widowControl/>
        <w:autoSpaceDE/>
        <w:autoSpaceDN/>
        <w:adjustRightInd/>
        <w:spacing w:after="200" w:line="276" w:lineRule="auto"/>
        <w:rPr>
          <w:b/>
          <w:color w:val="FF0000"/>
          <w:sz w:val="32"/>
          <w:szCs w:val="26"/>
        </w:rPr>
      </w:pPr>
    </w:p>
    <w:sectPr w:rsidR="0097375F" w:rsidRPr="007B1A3B" w:rsidSect="0097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78F7"/>
      </v:shape>
    </w:pict>
  </w:numPicBullet>
  <w:abstractNum w:abstractNumId="0">
    <w:nsid w:val="503246E9"/>
    <w:multiLevelType w:val="hybridMultilevel"/>
    <w:tmpl w:val="55D2E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20355"/>
    <w:multiLevelType w:val="hybridMultilevel"/>
    <w:tmpl w:val="F828D5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A3B"/>
    <w:rsid w:val="007B1A3B"/>
    <w:rsid w:val="0097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B1A3B"/>
    <w:pPr>
      <w:spacing w:line="322" w:lineRule="exact"/>
      <w:ind w:hanging="331"/>
    </w:pPr>
  </w:style>
  <w:style w:type="table" w:styleId="a3">
    <w:name w:val="Table Grid"/>
    <w:basedOn w:val="a1"/>
    <w:uiPriority w:val="59"/>
    <w:rsid w:val="007B1A3B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7B1A3B"/>
    <w:pPr>
      <w:widowControl/>
      <w:autoSpaceDE/>
      <w:autoSpaceDN/>
      <w:adjustRightInd/>
      <w:ind w:left="-284" w:right="-784"/>
      <w:jc w:val="center"/>
    </w:pPr>
    <w:rPr>
      <w:rFonts w:eastAsia="Times New Roman"/>
      <w:sz w:val="40"/>
      <w:szCs w:val="20"/>
    </w:rPr>
  </w:style>
  <w:style w:type="character" w:customStyle="1" w:styleId="FontStyle41">
    <w:name w:val="Font Style41"/>
    <w:basedOn w:val="a0"/>
    <w:uiPriority w:val="99"/>
    <w:rsid w:val="007B1A3B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B1A3B"/>
    <w:pPr>
      <w:ind w:left="708"/>
    </w:pPr>
  </w:style>
  <w:style w:type="paragraph" w:styleId="a6">
    <w:name w:val="Body Text"/>
    <w:basedOn w:val="a"/>
    <w:link w:val="a7"/>
    <w:rsid w:val="007B1A3B"/>
    <w:pPr>
      <w:widowControl/>
      <w:overflowPunct w:val="0"/>
      <w:spacing w:after="120" w:line="360" w:lineRule="auto"/>
      <w:textAlignment w:val="baseline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7B1A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3083</Characters>
  <Application>Microsoft Office Word</Application>
  <DocSecurity>0</DocSecurity>
  <Lines>25</Lines>
  <Paragraphs>7</Paragraphs>
  <ScaleCrop>false</ScaleCrop>
  <Company>Детский сад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2013-08-20T11:07:00Z</dcterms:created>
  <dcterms:modified xsi:type="dcterms:W3CDTF">2013-08-20T11:15:00Z</dcterms:modified>
</cp:coreProperties>
</file>